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1C1F" w14:textId="521015B6" w:rsidR="709FD7AE" w:rsidRPr="000E0467" w:rsidRDefault="0058781D" w:rsidP="65EFC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Surveillance </w:t>
      </w:r>
      <w:r w:rsidR="00F0095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Efforts to Track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Drug</w:t>
      </w:r>
      <w:r w:rsidR="008A07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F0095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Market Changes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in Philadelphia, PA</w:t>
      </w:r>
    </w:p>
    <w:p w14:paraId="472AD1C4" w14:textId="39229F30" w:rsidR="65EFCE09" w:rsidRPr="000E0467" w:rsidRDefault="65EFCE09" w:rsidP="65EFCE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C704083" w14:textId="4880AD0B" w:rsidR="000C40A3" w:rsidRPr="000E0467" w:rsidRDefault="000C40A3" w:rsidP="000C40A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E0467">
        <w:rPr>
          <w:rFonts w:ascii="Times New Roman" w:hAnsi="Times New Roman" w:cs="Times New Roman"/>
          <w:sz w:val="20"/>
          <w:szCs w:val="20"/>
        </w:rPr>
        <w:t>Alexis D Quinter, MS</w:t>
      </w:r>
      <w:r w:rsidRPr="000E04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E0467">
        <w:rPr>
          <w:rFonts w:ascii="Times New Roman" w:hAnsi="Times New Roman" w:cs="Times New Roman"/>
          <w:sz w:val="20"/>
          <w:szCs w:val="20"/>
        </w:rPr>
        <w:t>,</w:t>
      </w:r>
      <w:r w:rsidR="00921B77">
        <w:rPr>
          <w:rFonts w:ascii="Times New Roman" w:hAnsi="Times New Roman" w:cs="Times New Roman"/>
          <w:sz w:val="20"/>
          <w:szCs w:val="20"/>
        </w:rPr>
        <w:t xml:space="preserve"> </w:t>
      </w:r>
      <w:r w:rsidRPr="000E0467">
        <w:rPr>
          <w:rFonts w:ascii="Times New Roman" w:hAnsi="Times New Roman" w:cs="Times New Roman"/>
          <w:sz w:val="20"/>
          <w:szCs w:val="20"/>
        </w:rPr>
        <w:t>Joshua</w:t>
      </w:r>
      <w:r w:rsidR="00C2004F">
        <w:rPr>
          <w:rFonts w:ascii="Times New Roman" w:hAnsi="Times New Roman" w:cs="Times New Roman"/>
          <w:sz w:val="20"/>
          <w:szCs w:val="20"/>
        </w:rPr>
        <w:t xml:space="preserve"> S</w:t>
      </w:r>
      <w:r w:rsidRPr="000E0467">
        <w:rPr>
          <w:rFonts w:ascii="Times New Roman" w:hAnsi="Times New Roman" w:cs="Times New Roman"/>
          <w:sz w:val="20"/>
          <w:szCs w:val="20"/>
        </w:rPr>
        <w:t xml:space="preserve"> DeBord, PhD</w:t>
      </w:r>
      <w:r w:rsidRPr="000E04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E0467">
        <w:rPr>
          <w:rFonts w:ascii="Times New Roman" w:hAnsi="Times New Roman" w:cs="Times New Roman"/>
          <w:sz w:val="20"/>
          <w:szCs w:val="20"/>
        </w:rPr>
        <w:t xml:space="preserve">, </w:t>
      </w:r>
      <w:r w:rsidR="00921B77">
        <w:rPr>
          <w:rFonts w:ascii="Times New Roman" w:hAnsi="Times New Roman" w:cs="Times New Roman"/>
          <w:sz w:val="20"/>
          <w:szCs w:val="20"/>
        </w:rPr>
        <w:t>Max T Denn, MS</w:t>
      </w:r>
      <w:r w:rsidR="00921B77" w:rsidRPr="000E04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21B77">
        <w:rPr>
          <w:rFonts w:ascii="Times New Roman" w:hAnsi="Times New Roman" w:cs="Times New Roman"/>
          <w:sz w:val="20"/>
          <w:szCs w:val="20"/>
        </w:rPr>
        <w:t xml:space="preserve">, </w:t>
      </w:r>
      <w:r w:rsidRPr="000E0467">
        <w:rPr>
          <w:rFonts w:ascii="Times New Roman" w:hAnsi="Times New Roman" w:cs="Times New Roman"/>
          <w:sz w:val="20"/>
          <w:szCs w:val="20"/>
        </w:rPr>
        <w:t>Barry K Logan, PhD, F-ABFT</w:t>
      </w:r>
      <w:r w:rsidRPr="000E0467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0E0467">
        <w:rPr>
          <w:rFonts w:ascii="Times New Roman" w:hAnsi="Times New Roman" w:cs="Times New Roman"/>
          <w:sz w:val="20"/>
          <w:szCs w:val="20"/>
        </w:rPr>
        <w:t>, and Alex J Krotulski, PhD</w:t>
      </w:r>
      <w:r w:rsidRPr="000E0467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2E57D0F9" w14:textId="16ED3F8F" w:rsidR="65EFCE09" w:rsidRPr="000E0467" w:rsidRDefault="000E0467" w:rsidP="000E04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E046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0E0467">
        <w:rPr>
          <w:rFonts w:ascii="Times New Roman" w:hAnsi="Times New Roman" w:cs="Times New Roman"/>
          <w:i/>
          <w:sz w:val="20"/>
          <w:szCs w:val="20"/>
        </w:rPr>
        <w:t xml:space="preserve">Center for Forensic Science Research and Education, Fredric Rieders Family Foundation, 2300 Stratford Ave, Willow Grove, PA. </w:t>
      </w:r>
      <w:r w:rsidRPr="000E046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0E0467">
        <w:rPr>
          <w:rFonts w:ascii="Times New Roman" w:hAnsi="Times New Roman" w:cs="Times New Roman"/>
          <w:i/>
          <w:sz w:val="20"/>
          <w:szCs w:val="20"/>
        </w:rPr>
        <w:t>NMS Labs, 200 Welsh Rd, Horsham, PA</w:t>
      </w:r>
    </w:p>
    <w:p w14:paraId="0F6C783E" w14:textId="77777777" w:rsidR="000E0467" w:rsidRPr="000E0467" w:rsidRDefault="000E0467" w:rsidP="000E0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72D6108" w14:textId="4C40ED43" w:rsidR="709FD7AE" w:rsidRPr="000E0467" w:rsidRDefault="709FD7AE" w:rsidP="65EFCE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04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Learning Objective:</w:t>
      </w:r>
      <w:r w:rsidR="0A5DE3C1" w:rsidRPr="000E04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A5DE3C1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After attending this presentation, attendees </w:t>
      </w:r>
      <w:r w:rsidR="00893181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will </w:t>
      </w:r>
      <w:r w:rsidR="004D0A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 able to describe and implement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88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analysis techniques used by the authors to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study </w:t>
      </w:r>
      <w:r w:rsidR="00893181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current trends 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in,</w:t>
      </w:r>
      <w:r w:rsidR="00D93FF1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</w:t>
      </w:r>
      <w:r w:rsidR="00893181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composition of </w:t>
      </w:r>
      <w:r w:rsidR="008A0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893181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Philadelphia drug supply and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will be </w:t>
      </w:r>
      <w:r w:rsidR="004D0A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able to 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evaluate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important developments within the local drug supply</w:t>
      </w:r>
      <w:r w:rsidR="00EB621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A19C79F" w14:textId="3E68AA68" w:rsidR="65EFCE09" w:rsidRPr="000E0467" w:rsidRDefault="65EFCE09" w:rsidP="65EFC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E6FCEA9" w14:textId="71DB0378" w:rsidR="709FD7AE" w:rsidRDefault="709FD7AE" w:rsidP="65EFCE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04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Impact Statement:</w:t>
      </w:r>
      <w:r w:rsidR="3D33FDA4" w:rsidRPr="000E04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3D33FDA4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</w:t>
      </w:r>
      <w:r w:rsid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presentation</w:t>
      </w:r>
      <w:r w:rsidR="3D33FDA4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will</w:t>
      </w:r>
      <w:r w:rsidR="3BCB2F80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720E253B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impact the forensic community by</w:t>
      </w:r>
      <w:r w:rsidR="5D22CAD4"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communicating the findings of </w:t>
      </w:r>
      <w:r w:rsidR="008A0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CFSRE’s NPS Discovery drug checking program, </w:t>
      </w:r>
      <w:r w:rsidR="007272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emphasizing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 value of </w:t>
      </w:r>
      <w:r w:rsidR="00752F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timely monitoring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8A0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recreational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drug samples for the benefit of public</w:t>
      </w:r>
      <w:r w:rsidR="000654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health and awareness.</w:t>
      </w:r>
    </w:p>
    <w:p w14:paraId="521161B5" w14:textId="77777777" w:rsidR="000E0467" w:rsidRPr="000E0467" w:rsidRDefault="000E0467" w:rsidP="65EFCE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DE34F9D" w14:textId="57389C1B" w:rsidR="000E0467" w:rsidRPr="000E0467" w:rsidRDefault="000E0467" w:rsidP="000E04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04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Keywords</w:t>
      </w:r>
      <w:r w:rsidRPr="000E04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4175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Fentanyl, NPS, Philadelphia, </w:t>
      </w:r>
      <w:r w:rsidR="00D934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Overdose</w:t>
      </w:r>
    </w:p>
    <w:p w14:paraId="16072BB6" w14:textId="00641ACF" w:rsidR="65EFCE09" w:rsidRDefault="65EFCE09" w:rsidP="65EFCE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34252ED" w14:textId="07CF5AEC" w:rsidR="000E0467" w:rsidRPr="000E0467" w:rsidRDefault="000E0467" w:rsidP="000E046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51A6">
        <w:rPr>
          <w:rFonts w:ascii="Times New Roman" w:hAnsi="Times New Roman" w:cs="Times New Roman"/>
          <w:b/>
          <w:bCs/>
          <w:sz w:val="20"/>
          <w:szCs w:val="20"/>
        </w:rPr>
        <w:t>Abstract:</w:t>
      </w:r>
    </w:p>
    <w:p w14:paraId="55C124D6" w14:textId="53E36857" w:rsidR="007D0C02" w:rsidRDefault="008012A0" w:rsidP="005961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complex dynamic</w:t>
      </w:r>
      <w:r w:rsidR="006039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today’s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drug </w:t>
      </w:r>
      <w:r w:rsidR="006039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markets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must be met with </w:t>
      </w:r>
      <w:r w:rsidR="006039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real-time collection, purposeful chemical analysis,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6039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advanced data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interpretation</w:t>
      </w:r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reporting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Drug checking is a harm reduction </w:t>
      </w:r>
      <w:r w:rsidR="004F53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strategy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that utilizes </w:t>
      </w:r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 variety of </w:t>
      </w:r>
      <w:r w:rsidR="00735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analysis</w:t>
      </w:r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modes</w:t>
      </w:r>
      <w:r w:rsidR="00735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 </w:t>
      </w:r>
      <w:r w:rsidR="004D0A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provide</w:t>
      </w:r>
      <w:r w:rsidR="004D0A53" w:rsidRPr="00735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5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insights into drug markets </w:t>
      </w:r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 the benefits of</w:t>
      </w:r>
      <w:r w:rsidR="00735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public health </w:t>
      </w:r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and safety 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agencies.</w:t>
      </w:r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Comprehensive drug market surveillance in near real-time by forensic laboratories </w:t>
      </w:r>
      <w:proofErr w:type="gramStart"/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has the opportunity to</w:t>
      </w:r>
      <w:proofErr w:type="gramEnd"/>
      <w:r w:rsidR="007D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impact current and future forensic practices, especially as it relates to novel analytical workflows, scope of testing, and information sharing. 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5D05910" w14:textId="77777777" w:rsidR="0059612A" w:rsidRDefault="0059612A" w:rsidP="001F2D4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AECAD2A" w14:textId="058487B9" w:rsidR="65EFCE09" w:rsidRDefault="007D0C02" w:rsidP="005961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Center for Forensic Science Research and Education</w:t>
      </w:r>
      <w:r w:rsidR="001F2D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(CFSRE)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through its NPS Discovery drug early warning system,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has been 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formally 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partnered with Philadelphia Department of Public Health</w:t>
      </w:r>
      <w:r w:rsidR="001F2D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(PDPH)</w:t>
      </w:r>
      <w:r w:rsidR="009C37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since 2020 </w:t>
      </w:r>
      <w:r w:rsidR="00735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to provide confirmatory testing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on drug materials collected within various parts of the city. 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Our laboratory has analyzed drug samples collected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since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2019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with 47 samples</w:t>
      </w:r>
      <w:r w:rsidR="000C4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analyzed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that year</w:t>
      </w:r>
      <w:r w:rsidR="000C4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s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imilarly</w:t>
      </w:r>
      <w:r w:rsidR="000C4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46 samples</w:t>
      </w:r>
      <w:r w:rsidR="000C4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next year in 2020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However,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our 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drug checking program has grown over the past few years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 total of </w:t>
      </w:r>
      <w:r w:rsidR="00984F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289 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samples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2021 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984F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505 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samples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2022</w:t>
      </w:r>
      <w:r w:rsidR="00085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</w:t>
      </w:r>
      <w:r w:rsidR="00797D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 2023,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samples continue to grow with</w:t>
      </w:r>
      <w:r w:rsidR="00797D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than </w:t>
      </w:r>
      <w:r w:rsidR="00984F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390 </w:t>
      </w:r>
      <w:r w:rsidR="00797D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samples</w:t>
      </w:r>
      <w:r w:rsidR="00D93F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84F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through August 2023</w:t>
      </w:r>
      <w:r w:rsidR="00797D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84F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For the first half of </w:t>
      </w:r>
      <w:r w:rsidR="0044698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2023, qualitative analysis showed that over half (56%) of the samples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submitted </w:t>
      </w:r>
      <w:r w:rsidR="0044698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contained fentanyl as the primary drug, 28% contained cocaine as the primary drug, </w:t>
      </w:r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 the remaining 16% containing other primary drugs</w:t>
      </w:r>
      <w:r w:rsidR="00E624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such as methamphetamine, </w:t>
      </w:r>
      <w:r w:rsidR="003750E2" w:rsidRPr="00601B1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para</w:t>
      </w:r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-fluorofentanyl, PCP, </w:t>
      </w:r>
      <w:proofErr w:type="gramStart"/>
      <w:r w:rsidR="003750E2" w:rsidRPr="00601B1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N,N</w:t>
      </w:r>
      <w:proofErr w:type="gramEnd"/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E624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imethylpentylone, </w:t>
      </w:r>
      <w:r w:rsidR="00E22E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</w:t>
      </w:r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romazolam</w:t>
      </w:r>
      <w:r w:rsidR="00E624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5C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others</w:t>
      </w:r>
      <w:r w:rsidR="003750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E6244B" w:rsidRPr="00E624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24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For the first half of 2023, quantitative analysis showed 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mean 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purity of fentanyl was 14.5%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± 8.2%;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xylazine was 4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± 15.4%;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cocaine was 54.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± 24.8%;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methamphetamine was </w:t>
      </w:r>
      <w:r w:rsidR="00F443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63.6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</w:t>
      </w:r>
      <w:r w:rsidR="00F443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± 13.8%</w:t>
      </w:r>
      <w:r w:rsidR="009E03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248DFFE" w14:textId="77777777" w:rsidR="00A02C97" w:rsidRDefault="00A02C97" w:rsidP="00E22EA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5B2F15C" w14:textId="62D51752" w:rsidR="00A02C97" w:rsidRDefault="003A44E1" w:rsidP="00E22EA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Polydrug, or polysubstance, use 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refers to the recreational 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consumption 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 multiple drugs, either by using a mix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ture of drugs concurrently (e.g., speedball, </w:t>
      </w:r>
      <w:proofErr w:type="gramStart"/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fentanyl</w:t>
      </w:r>
      <w:proofErr w:type="gramEnd"/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cocaine)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or using different drugs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(e.g., fentanyl </w:t>
      </w:r>
      <w:r w:rsidR="005C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methamphetamine)</w:t>
      </w:r>
      <w:r w:rsidR="005C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within the same time frame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C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Either can cause drug interactions and </w:t>
      </w:r>
      <w:proofErr w:type="gramStart"/>
      <w:r w:rsidR="005C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increased</w:t>
      </w:r>
      <w:proofErr w:type="gramEnd"/>
      <w:r w:rsidR="005C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risks of toxicity. 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Depending on the jurisdiction and its drug supply,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polydrug use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may be </w:t>
      </w:r>
      <w:proofErr w:type="gramStart"/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more or less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common</w:t>
      </w:r>
      <w:proofErr w:type="gramEnd"/>
      <w:r w:rsidR="003761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446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may </w:t>
      </w:r>
      <w:r w:rsidR="005C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increase the risk</w:t>
      </w:r>
      <w:r w:rsidR="000C4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4225F"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of unintentional </w:t>
      </w:r>
      <w:r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drug overdose. In 2019, </w:t>
      </w:r>
      <w:r w:rsidR="00044632"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death certificates and toxicology reports showed that </w:t>
      </w:r>
      <w:r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50% of all drug overdose deaths involved more than one drug</w:t>
      </w:r>
      <w:r w:rsidR="00974D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(O’Donnell J, Gladden RM, Matson CL, Hunter CT, Davis NL, 2020)</w:t>
      </w:r>
      <w:r w:rsidR="00E0264F"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0264F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="00A02C97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ut of all the</w:t>
      </w:r>
      <w:r w:rsidR="00B0440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B7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drug</w:t>
      </w:r>
      <w:r w:rsidR="00A02C97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samples analyzed in 2023, only </w:t>
      </w:r>
      <w:r w:rsidR="00BC0C6E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23</w:t>
      </w:r>
      <w:r w:rsidR="00A02C97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 were comprised of one</w:t>
      </w:r>
      <w:r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2C97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component</w:t>
      </w:r>
      <w:r w:rsidR="008758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5614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BC0C6E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19</w:t>
      </w:r>
      <w:r w:rsidR="00315614" w:rsidRPr="00E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 contained four or more components</w:t>
      </w:r>
      <w:r w:rsidR="00DB71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with all analytes of interest considered as components.</w:t>
      </w:r>
      <w:r w:rsidR="00315614"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2C97"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Drug samples containing multiple components can lead to harmful effects especially when the </w:t>
      </w:r>
      <w:r w:rsidR="00044632"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consumer </w:t>
      </w:r>
      <w:r w:rsidR="00A02C97" w:rsidRPr="00601B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 unaware</w:t>
      </w:r>
      <w:r w:rsidR="00A02C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the purity of the drug sample</w:t>
      </w:r>
      <w:r w:rsidR="000446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drugs present, and/</w:t>
      </w:r>
      <w:r w:rsidR="00A02C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or possible drug-drug interactions. 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Another concerning trend is the </w:t>
      </w:r>
      <w:r w:rsidR="00FB2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increasing positivity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xylazine combined with fentanyl.</w:t>
      </w:r>
      <w:r w:rsidR="00921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2019, 67.4% of fentanyl drug samples tested from Philadelphia also contain xylazine; however, in 2023,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98</w:t>
      </w:r>
      <w:r w:rsidR="00921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.9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%</w:t>
      </w:r>
      <w:r w:rsidR="00921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Philadelphia drug samples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1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contain fentanyl and xylazine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21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with xylazine 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frequently </w:t>
      </w:r>
      <w:r w:rsidR="00921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</w:t>
      </w:r>
      <w:r w:rsidR="005961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principal component in the sample.</w:t>
      </w:r>
    </w:p>
    <w:p w14:paraId="282928E0" w14:textId="77777777" w:rsidR="003A44E1" w:rsidRDefault="003A44E1" w:rsidP="00E22EA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91729DC" w14:textId="6E5566F1" w:rsidR="00415BCB" w:rsidRDefault="003A44E1" w:rsidP="00E0264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Drug checking is an important tool and resource to 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better </w:t>
      </w:r>
      <w:r w:rsidR="00742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</w:t>
      </w:r>
      <w:r w:rsidR="000446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current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drug epidemic and evolving drug market</w:t>
      </w:r>
      <w:r w:rsidR="009B74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D934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Collecting, analyzing, interpreting, and </w:t>
      </w:r>
      <w:r w:rsidR="00742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communicating </w:t>
      </w:r>
      <w:r w:rsidR="00D934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drug checking data and trends in </w:t>
      </w:r>
      <w:proofErr w:type="gramStart"/>
      <w:r w:rsidR="00D934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real</w:t>
      </w:r>
      <w:proofErr w:type="gramEnd"/>
      <w:r w:rsidR="000446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D934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time allows for </w:t>
      </w:r>
      <w:r w:rsidR="007422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timely, informed </w:t>
      </w:r>
      <w:r w:rsidR="00FB2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drug user education and countermeasures to help reduce adverse effects and overdose</w:t>
      </w:r>
      <w:r w:rsidR="00D934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B4935E9" w14:textId="77777777" w:rsidR="00B04400" w:rsidRDefault="00B04400" w:rsidP="00E0264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99DE10" w14:textId="4B543E3F" w:rsidR="00974DF2" w:rsidRDefault="00974DF2" w:rsidP="00974DF2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Reference</w:t>
      </w:r>
      <w:r w:rsidRPr="00FB51A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9C769B7" w14:textId="1C8F916D" w:rsidR="00974DF2" w:rsidRPr="00E07076" w:rsidRDefault="00974DF2" w:rsidP="00E070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07076">
        <w:rPr>
          <w:rFonts w:ascii="Times New Roman" w:hAnsi="Times New Roman" w:cs="Times New Roman"/>
          <w:sz w:val="20"/>
          <w:szCs w:val="20"/>
        </w:rPr>
        <w:t xml:space="preserve">O'Donnell J, Gladden RM, Mattson CL, Hunter CT, Davis NL. Vital Signs: Characteristics of Drug Overdose Deaths Involving Opioids and Stimulants - 24 States and the District of Columbia, January-June 2019. MMWR </w:t>
      </w:r>
      <w:proofErr w:type="spellStart"/>
      <w:r w:rsidRPr="00E07076">
        <w:rPr>
          <w:rFonts w:ascii="Times New Roman" w:hAnsi="Times New Roman" w:cs="Times New Roman"/>
          <w:sz w:val="20"/>
          <w:szCs w:val="20"/>
        </w:rPr>
        <w:t>Morb</w:t>
      </w:r>
      <w:proofErr w:type="spellEnd"/>
      <w:r w:rsidRPr="00E07076">
        <w:rPr>
          <w:rFonts w:ascii="Times New Roman" w:hAnsi="Times New Roman" w:cs="Times New Roman"/>
          <w:sz w:val="20"/>
          <w:szCs w:val="20"/>
        </w:rPr>
        <w:t xml:space="preserve"> Mortal </w:t>
      </w:r>
      <w:proofErr w:type="spellStart"/>
      <w:r w:rsidRPr="00E07076">
        <w:rPr>
          <w:rFonts w:ascii="Times New Roman" w:hAnsi="Times New Roman" w:cs="Times New Roman"/>
          <w:sz w:val="20"/>
          <w:szCs w:val="20"/>
        </w:rPr>
        <w:t>Wkly</w:t>
      </w:r>
      <w:proofErr w:type="spellEnd"/>
      <w:r w:rsidRPr="00E07076">
        <w:rPr>
          <w:rFonts w:ascii="Times New Roman" w:hAnsi="Times New Roman" w:cs="Times New Roman"/>
          <w:sz w:val="20"/>
          <w:szCs w:val="20"/>
        </w:rPr>
        <w:t xml:space="preserve"> Rep. 2020 Sep 4;69(35):1189-1197.</w:t>
      </w:r>
    </w:p>
    <w:p w14:paraId="2A6713DA" w14:textId="77777777" w:rsidR="00974DF2" w:rsidRPr="00E22EAE" w:rsidRDefault="00974DF2" w:rsidP="00E0264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974DF2" w:rsidRPr="00E22E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14C5" w14:textId="77777777" w:rsidR="001C2FCF" w:rsidRDefault="001C2FCF" w:rsidP="00EF4681">
      <w:pPr>
        <w:spacing w:after="0" w:line="240" w:lineRule="auto"/>
      </w:pPr>
      <w:r>
        <w:separator/>
      </w:r>
    </w:p>
  </w:endnote>
  <w:endnote w:type="continuationSeparator" w:id="0">
    <w:p w14:paraId="2C04A2B5" w14:textId="77777777" w:rsidR="001C2FCF" w:rsidRDefault="001C2FCF" w:rsidP="00EF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4C8B" w14:textId="77777777" w:rsidR="001C2FCF" w:rsidRDefault="001C2FCF" w:rsidP="00EF4681">
      <w:pPr>
        <w:spacing w:after="0" w:line="240" w:lineRule="auto"/>
      </w:pPr>
      <w:r>
        <w:separator/>
      </w:r>
    </w:p>
  </w:footnote>
  <w:footnote w:type="continuationSeparator" w:id="0">
    <w:p w14:paraId="69924934" w14:textId="77777777" w:rsidR="001C2FCF" w:rsidRDefault="001C2FCF" w:rsidP="00EF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D11B" w14:textId="298CA0A3" w:rsidR="00EF4681" w:rsidRPr="00153C82" w:rsidRDefault="00EF4681" w:rsidP="00EF468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153C82">
      <w:rPr>
        <w:rFonts w:ascii="Times New Roman" w:eastAsia="Times New Roman" w:hAnsi="Times New Roman" w:cs="Times New Roman"/>
        <w:color w:val="000000"/>
        <w:sz w:val="24"/>
        <w:szCs w:val="24"/>
      </w:rPr>
      <w:t>AAFS 202</w:t>
    </w:r>
    <w:r w:rsidR="00827940">
      <w:rPr>
        <w:rFonts w:ascii="Times New Roman" w:eastAsia="Times New Roman" w:hAnsi="Times New Roman" w:cs="Times New Roman"/>
        <w:color w:val="000000"/>
        <w:sz w:val="24"/>
        <w:szCs w:val="24"/>
      </w:rPr>
      <w:t>4</w:t>
    </w:r>
    <w:r w:rsidRPr="00153C82">
      <w:rPr>
        <w:rFonts w:ascii="Times New Roman" w:eastAsia="Times New Roman" w:hAnsi="Times New Roman" w:cs="Times New Roman"/>
        <w:color w:val="000000"/>
        <w:sz w:val="24"/>
        <w:szCs w:val="24"/>
      </w:rPr>
      <w:t xml:space="preserve"> Abstract</w:t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827940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</w:t>
    </w:r>
    <w:r w:rsidR="00153C82" w:rsidRPr="00153C82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="00827940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Alexis Quinter</w:t>
    </w:r>
  </w:p>
  <w:p w14:paraId="7CFFC136" w14:textId="637C0F3D" w:rsidR="00153C82" w:rsidRDefault="00153C82" w:rsidP="00EF4681">
    <w:pPr>
      <w:spacing w:after="0" w:line="240" w:lineRule="auto"/>
      <w:rPr>
        <w:rFonts w:ascii="Arial" w:eastAsia="Times New Roman" w:hAnsi="Arial" w:cs="Arial"/>
        <w:color w:val="000000"/>
      </w:rPr>
    </w:pPr>
  </w:p>
  <w:p w14:paraId="5EA8D659" w14:textId="77777777" w:rsidR="00EF4681" w:rsidRDefault="00EF468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7D5F"/>
    <w:multiLevelType w:val="hybridMultilevel"/>
    <w:tmpl w:val="F53C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EA7E"/>
    <w:multiLevelType w:val="hybridMultilevel"/>
    <w:tmpl w:val="04E87B82"/>
    <w:lvl w:ilvl="0" w:tplc="A7C819B0">
      <w:start w:val="1"/>
      <w:numFmt w:val="decimal"/>
      <w:lvlText w:val="%1."/>
      <w:lvlJc w:val="left"/>
      <w:pPr>
        <w:ind w:left="720" w:hanging="360"/>
      </w:pPr>
    </w:lvl>
    <w:lvl w:ilvl="1" w:tplc="CC846040">
      <w:start w:val="1"/>
      <w:numFmt w:val="lowerLetter"/>
      <w:lvlText w:val="%2."/>
      <w:lvlJc w:val="left"/>
      <w:pPr>
        <w:ind w:left="1440" w:hanging="360"/>
      </w:pPr>
    </w:lvl>
    <w:lvl w:ilvl="2" w:tplc="051AFB92">
      <w:start w:val="1"/>
      <w:numFmt w:val="lowerRoman"/>
      <w:lvlText w:val="%3."/>
      <w:lvlJc w:val="right"/>
      <w:pPr>
        <w:ind w:left="2160" w:hanging="180"/>
      </w:pPr>
    </w:lvl>
    <w:lvl w:ilvl="3" w:tplc="C45ED182">
      <w:start w:val="1"/>
      <w:numFmt w:val="decimal"/>
      <w:lvlText w:val="%4."/>
      <w:lvlJc w:val="left"/>
      <w:pPr>
        <w:ind w:left="2880" w:hanging="360"/>
      </w:pPr>
    </w:lvl>
    <w:lvl w:ilvl="4" w:tplc="0EFAFC90">
      <w:start w:val="1"/>
      <w:numFmt w:val="lowerLetter"/>
      <w:lvlText w:val="%5."/>
      <w:lvlJc w:val="left"/>
      <w:pPr>
        <w:ind w:left="3600" w:hanging="360"/>
      </w:pPr>
    </w:lvl>
    <w:lvl w:ilvl="5" w:tplc="CE726FB4">
      <w:start w:val="1"/>
      <w:numFmt w:val="lowerRoman"/>
      <w:lvlText w:val="%6."/>
      <w:lvlJc w:val="right"/>
      <w:pPr>
        <w:ind w:left="4320" w:hanging="180"/>
      </w:pPr>
    </w:lvl>
    <w:lvl w:ilvl="6" w:tplc="BEE6262E">
      <w:start w:val="1"/>
      <w:numFmt w:val="decimal"/>
      <w:lvlText w:val="%7."/>
      <w:lvlJc w:val="left"/>
      <w:pPr>
        <w:ind w:left="5040" w:hanging="360"/>
      </w:pPr>
    </w:lvl>
    <w:lvl w:ilvl="7" w:tplc="FD321354">
      <w:start w:val="1"/>
      <w:numFmt w:val="lowerLetter"/>
      <w:lvlText w:val="%8."/>
      <w:lvlJc w:val="left"/>
      <w:pPr>
        <w:ind w:left="5760" w:hanging="360"/>
      </w:pPr>
    </w:lvl>
    <w:lvl w:ilvl="8" w:tplc="C3BCAD2E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7117">
    <w:abstractNumId w:val="1"/>
  </w:num>
  <w:num w:numId="2" w16cid:durableId="16763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3"/>
    <w:rsid w:val="000411E9"/>
    <w:rsid w:val="00044632"/>
    <w:rsid w:val="00065423"/>
    <w:rsid w:val="0008516F"/>
    <w:rsid w:val="000C40A3"/>
    <w:rsid w:val="000E0467"/>
    <w:rsid w:val="0010245E"/>
    <w:rsid w:val="001436E7"/>
    <w:rsid w:val="00153C82"/>
    <w:rsid w:val="00163492"/>
    <w:rsid w:val="001B1EB6"/>
    <w:rsid w:val="001C2FCF"/>
    <w:rsid w:val="001F2D4D"/>
    <w:rsid w:val="001F98D7"/>
    <w:rsid w:val="002078A7"/>
    <w:rsid w:val="00315614"/>
    <w:rsid w:val="0036D728"/>
    <w:rsid w:val="003750E2"/>
    <w:rsid w:val="003761AD"/>
    <w:rsid w:val="003A44E1"/>
    <w:rsid w:val="003E1283"/>
    <w:rsid w:val="00415BCB"/>
    <w:rsid w:val="00417555"/>
    <w:rsid w:val="00446989"/>
    <w:rsid w:val="004D0A53"/>
    <w:rsid w:val="004F5323"/>
    <w:rsid w:val="00544AEE"/>
    <w:rsid w:val="0058781D"/>
    <w:rsid w:val="0059612A"/>
    <w:rsid w:val="005A51F3"/>
    <w:rsid w:val="005C5A3B"/>
    <w:rsid w:val="00601B15"/>
    <w:rsid w:val="006039CE"/>
    <w:rsid w:val="00695667"/>
    <w:rsid w:val="00727215"/>
    <w:rsid w:val="0073036E"/>
    <w:rsid w:val="00735EBF"/>
    <w:rsid w:val="0074225F"/>
    <w:rsid w:val="00752FEC"/>
    <w:rsid w:val="00797D90"/>
    <w:rsid w:val="007D0C02"/>
    <w:rsid w:val="008012A0"/>
    <w:rsid w:val="00827940"/>
    <w:rsid w:val="00875892"/>
    <w:rsid w:val="008804E2"/>
    <w:rsid w:val="00893181"/>
    <w:rsid w:val="008A07D5"/>
    <w:rsid w:val="008C6B28"/>
    <w:rsid w:val="00911AB9"/>
    <w:rsid w:val="00921B77"/>
    <w:rsid w:val="00962B98"/>
    <w:rsid w:val="00974DF2"/>
    <w:rsid w:val="00983A54"/>
    <w:rsid w:val="00984FB2"/>
    <w:rsid w:val="009B744A"/>
    <w:rsid w:val="009C371F"/>
    <w:rsid w:val="009E0392"/>
    <w:rsid w:val="00A02C97"/>
    <w:rsid w:val="00AC0894"/>
    <w:rsid w:val="00AE51F5"/>
    <w:rsid w:val="00AEE1C4"/>
    <w:rsid w:val="00B04400"/>
    <w:rsid w:val="00B14759"/>
    <w:rsid w:val="00BC0C6E"/>
    <w:rsid w:val="00C2004F"/>
    <w:rsid w:val="00CB0889"/>
    <w:rsid w:val="00D3793E"/>
    <w:rsid w:val="00D9346D"/>
    <w:rsid w:val="00D93FF1"/>
    <w:rsid w:val="00DB716F"/>
    <w:rsid w:val="00E0264F"/>
    <w:rsid w:val="00E07076"/>
    <w:rsid w:val="00E22EAE"/>
    <w:rsid w:val="00E6244B"/>
    <w:rsid w:val="00EB583C"/>
    <w:rsid w:val="00EB621B"/>
    <w:rsid w:val="00EF4681"/>
    <w:rsid w:val="00F0095D"/>
    <w:rsid w:val="00F3678D"/>
    <w:rsid w:val="00F4436E"/>
    <w:rsid w:val="00FB2747"/>
    <w:rsid w:val="00FB5C18"/>
    <w:rsid w:val="00FF07F7"/>
    <w:rsid w:val="0132AC89"/>
    <w:rsid w:val="014A1A35"/>
    <w:rsid w:val="019B554B"/>
    <w:rsid w:val="01E28532"/>
    <w:rsid w:val="020C2955"/>
    <w:rsid w:val="02428453"/>
    <w:rsid w:val="025DF62D"/>
    <w:rsid w:val="027CC6BE"/>
    <w:rsid w:val="02F6961E"/>
    <w:rsid w:val="0309A70A"/>
    <w:rsid w:val="031FD867"/>
    <w:rsid w:val="033F6932"/>
    <w:rsid w:val="038AF94B"/>
    <w:rsid w:val="03EB8CEB"/>
    <w:rsid w:val="041761DC"/>
    <w:rsid w:val="0435B251"/>
    <w:rsid w:val="048310F8"/>
    <w:rsid w:val="04AEE750"/>
    <w:rsid w:val="0538E4F7"/>
    <w:rsid w:val="05479C80"/>
    <w:rsid w:val="055E629D"/>
    <w:rsid w:val="055F0A2C"/>
    <w:rsid w:val="05760B06"/>
    <w:rsid w:val="0645C3B9"/>
    <w:rsid w:val="068F3A4D"/>
    <w:rsid w:val="06B99B65"/>
    <w:rsid w:val="07C27A2A"/>
    <w:rsid w:val="0822A9E2"/>
    <w:rsid w:val="085D486F"/>
    <w:rsid w:val="08784716"/>
    <w:rsid w:val="09FB5218"/>
    <w:rsid w:val="0A36B853"/>
    <w:rsid w:val="0A43C293"/>
    <w:rsid w:val="0A5DE3C1"/>
    <w:rsid w:val="0A723BB1"/>
    <w:rsid w:val="0A78F202"/>
    <w:rsid w:val="0A91F3AE"/>
    <w:rsid w:val="0AFD508D"/>
    <w:rsid w:val="0B70A125"/>
    <w:rsid w:val="0B972279"/>
    <w:rsid w:val="0BCF7E2C"/>
    <w:rsid w:val="0C202BDF"/>
    <w:rsid w:val="0C542465"/>
    <w:rsid w:val="0C585C33"/>
    <w:rsid w:val="0C785610"/>
    <w:rsid w:val="0CB4E5A2"/>
    <w:rsid w:val="0D400D08"/>
    <w:rsid w:val="0D5B3C2B"/>
    <w:rsid w:val="0D60F788"/>
    <w:rsid w:val="0D6FF138"/>
    <w:rsid w:val="0DAD05CA"/>
    <w:rsid w:val="0DDD8AFF"/>
    <w:rsid w:val="0E51B477"/>
    <w:rsid w:val="0F78349A"/>
    <w:rsid w:val="0F8AA872"/>
    <w:rsid w:val="0F8BC527"/>
    <w:rsid w:val="0FB43FB4"/>
    <w:rsid w:val="0FC02791"/>
    <w:rsid w:val="101842DD"/>
    <w:rsid w:val="1087CEB4"/>
    <w:rsid w:val="10A3FC58"/>
    <w:rsid w:val="10B98080"/>
    <w:rsid w:val="10C0D29E"/>
    <w:rsid w:val="10CDD7ED"/>
    <w:rsid w:val="11C95C72"/>
    <w:rsid w:val="11CB15E8"/>
    <w:rsid w:val="120663FD"/>
    <w:rsid w:val="121EDB65"/>
    <w:rsid w:val="12548E0E"/>
    <w:rsid w:val="125550E1"/>
    <w:rsid w:val="125A7BE0"/>
    <w:rsid w:val="125CA2FF"/>
    <w:rsid w:val="12B8E9A8"/>
    <w:rsid w:val="13015A5E"/>
    <w:rsid w:val="130C9DF3"/>
    <w:rsid w:val="13A2345E"/>
    <w:rsid w:val="13A4BF15"/>
    <w:rsid w:val="13D53DD4"/>
    <w:rsid w:val="13DCD02F"/>
    <w:rsid w:val="1412EAA4"/>
    <w:rsid w:val="145F364A"/>
    <w:rsid w:val="14BB09F1"/>
    <w:rsid w:val="153E04BF"/>
    <w:rsid w:val="155B3FD7"/>
    <w:rsid w:val="158C2ED0"/>
    <w:rsid w:val="15921CA2"/>
    <w:rsid w:val="159E729D"/>
    <w:rsid w:val="15AA966F"/>
    <w:rsid w:val="1616C431"/>
    <w:rsid w:val="16185B77"/>
    <w:rsid w:val="16273ADF"/>
    <w:rsid w:val="164AA0C0"/>
    <w:rsid w:val="1656DA52"/>
    <w:rsid w:val="165881B9"/>
    <w:rsid w:val="1682A55B"/>
    <w:rsid w:val="16D01E49"/>
    <w:rsid w:val="1796D70C"/>
    <w:rsid w:val="17B889A8"/>
    <w:rsid w:val="17B96E78"/>
    <w:rsid w:val="17C30B40"/>
    <w:rsid w:val="17F2AAB3"/>
    <w:rsid w:val="180CA6F6"/>
    <w:rsid w:val="1877A453"/>
    <w:rsid w:val="19117A69"/>
    <w:rsid w:val="19553ED9"/>
    <w:rsid w:val="195882AD"/>
    <w:rsid w:val="19614419"/>
    <w:rsid w:val="1962B71A"/>
    <w:rsid w:val="198E7B14"/>
    <w:rsid w:val="198E7C2D"/>
    <w:rsid w:val="1AF8064E"/>
    <w:rsid w:val="1AFD147A"/>
    <w:rsid w:val="1B8F90F3"/>
    <w:rsid w:val="1BE8EA7E"/>
    <w:rsid w:val="1BF09A04"/>
    <w:rsid w:val="1BFC3327"/>
    <w:rsid w:val="1C6A482F"/>
    <w:rsid w:val="1C77A221"/>
    <w:rsid w:val="1CBE444E"/>
    <w:rsid w:val="1CBE4B97"/>
    <w:rsid w:val="1CF99C30"/>
    <w:rsid w:val="1D1BD74F"/>
    <w:rsid w:val="1D3BA7B4"/>
    <w:rsid w:val="1D8826A2"/>
    <w:rsid w:val="1D8C6A65"/>
    <w:rsid w:val="1D9D7466"/>
    <w:rsid w:val="1E6F4B22"/>
    <w:rsid w:val="1ED5324E"/>
    <w:rsid w:val="1F482B56"/>
    <w:rsid w:val="1F7810CD"/>
    <w:rsid w:val="1FC4805D"/>
    <w:rsid w:val="1FEBAA8C"/>
    <w:rsid w:val="22E05A84"/>
    <w:rsid w:val="232F05D7"/>
    <w:rsid w:val="238E2868"/>
    <w:rsid w:val="23CD4CA6"/>
    <w:rsid w:val="23D855F4"/>
    <w:rsid w:val="23F63738"/>
    <w:rsid w:val="2414E586"/>
    <w:rsid w:val="24343C7A"/>
    <w:rsid w:val="248C9F63"/>
    <w:rsid w:val="24E47C07"/>
    <w:rsid w:val="257FFD82"/>
    <w:rsid w:val="25953729"/>
    <w:rsid w:val="259E5010"/>
    <w:rsid w:val="25DEA731"/>
    <w:rsid w:val="26820DC4"/>
    <w:rsid w:val="26A4F2A3"/>
    <w:rsid w:val="27192D07"/>
    <w:rsid w:val="272AA7FA"/>
    <w:rsid w:val="27BF3C8C"/>
    <w:rsid w:val="27FE15BC"/>
    <w:rsid w:val="281771A2"/>
    <w:rsid w:val="281EAB63"/>
    <w:rsid w:val="284BD990"/>
    <w:rsid w:val="2894DCCE"/>
    <w:rsid w:val="2895F84D"/>
    <w:rsid w:val="28D154F1"/>
    <w:rsid w:val="2973840C"/>
    <w:rsid w:val="29C59DB3"/>
    <w:rsid w:val="29E72EDB"/>
    <w:rsid w:val="2A3211E9"/>
    <w:rsid w:val="2ABC43D8"/>
    <w:rsid w:val="2B07BCC6"/>
    <w:rsid w:val="2B89FF17"/>
    <w:rsid w:val="2BEB6A62"/>
    <w:rsid w:val="2C90014C"/>
    <w:rsid w:val="2CB4B72D"/>
    <w:rsid w:val="2D85B967"/>
    <w:rsid w:val="2DA78597"/>
    <w:rsid w:val="2E48C166"/>
    <w:rsid w:val="2EAFAA5A"/>
    <w:rsid w:val="2EDA0B97"/>
    <w:rsid w:val="2F20336D"/>
    <w:rsid w:val="2F4D1449"/>
    <w:rsid w:val="304B7ABB"/>
    <w:rsid w:val="31179269"/>
    <w:rsid w:val="31743BD2"/>
    <w:rsid w:val="319380ED"/>
    <w:rsid w:val="3223FB71"/>
    <w:rsid w:val="323D23CE"/>
    <w:rsid w:val="3284B50B"/>
    <w:rsid w:val="32AF89E8"/>
    <w:rsid w:val="32F79B03"/>
    <w:rsid w:val="3347686F"/>
    <w:rsid w:val="335B7038"/>
    <w:rsid w:val="33D8F42F"/>
    <w:rsid w:val="340E1BFB"/>
    <w:rsid w:val="3420856C"/>
    <w:rsid w:val="34936B64"/>
    <w:rsid w:val="34FDF93A"/>
    <w:rsid w:val="34FF2E1F"/>
    <w:rsid w:val="35C3C10B"/>
    <w:rsid w:val="363505B2"/>
    <w:rsid w:val="3638AAD4"/>
    <w:rsid w:val="3642BE7E"/>
    <w:rsid w:val="36549E89"/>
    <w:rsid w:val="36B8A75B"/>
    <w:rsid w:val="36B9A085"/>
    <w:rsid w:val="375F916C"/>
    <w:rsid w:val="37E25175"/>
    <w:rsid w:val="37E4D598"/>
    <w:rsid w:val="39493D3D"/>
    <w:rsid w:val="397B4E25"/>
    <w:rsid w:val="3A1035B8"/>
    <w:rsid w:val="3A6664DA"/>
    <w:rsid w:val="3A8FC6F0"/>
    <w:rsid w:val="3AA7F427"/>
    <w:rsid w:val="3B6F3276"/>
    <w:rsid w:val="3BAC0619"/>
    <w:rsid w:val="3BCB2F80"/>
    <w:rsid w:val="3C02F851"/>
    <w:rsid w:val="3C60DB6D"/>
    <w:rsid w:val="3C6F3038"/>
    <w:rsid w:val="3D33FDA4"/>
    <w:rsid w:val="3E9BBE60"/>
    <w:rsid w:val="3EA61065"/>
    <w:rsid w:val="3EE0A777"/>
    <w:rsid w:val="3F14E840"/>
    <w:rsid w:val="3F181B83"/>
    <w:rsid w:val="3F661696"/>
    <w:rsid w:val="3F7681F7"/>
    <w:rsid w:val="3F94D978"/>
    <w:rsid w:val="3F975F7A"/>
    <w:rsid w:val="3FAFD3A1"/>
    <w:rsid w:val="4035F0B6"/>
    <w:rsid w:val="41332FDB"/>
    <w:rsid w:val="417B59DE"/>
    <w:rsid w:val="419399D1"/>
    <w:rsid w:val="41C0CFB5"/>
    <w:rsid w:val="424E0A8B"/>
    <w:rsid w:val="426F0A43"/>
    <w:rsid w:val="430D38E6"/>
    <w:rsid w:val="434A8ACD"/>
    <w:rsid w:val="4374CD91"/>
    <w:rsid w:val="43C6F57A"/>
    <w:rsid w:val="43CF3106"/>
    <w:rsid w:val="44680F11"/>
    <w:rsid w:val="44DB13DB"/>
    <w:rsid w:val="45014A20"/>
    <w:rsid w:val="45133172"/>
    <w:rsid w:val="452A6C29"/>
    <w:rsid w:val="46670AF4"/>
    <w:rsid w:val="46803351"/>
    <w:rsid w:val="46822B8F"/>
    <w:rsid w:val="469C19D0"/>
    <w:rsid w:val="469E9BDD"/>
    <w:rsid w:val="46B1224A"/>
    <w:rsid w:val="4789E565"/>
    <w:rsid w:val="4795CA0F"/>
    <w:rsid w:val="481D5A0D"/>
    <w:rsid w:val="48348D21"/>
    <w:rsid w:val="483784AA"/>
    <w:rsid w:val="484DB57E"/>
    <w:rsid w:val="499704DA"/>
    <w:rsid w:val="49B1483F"/>
    <w:rsid w:val="49D4BB43"/>
    <w:rsid w:val="4A7EAEAF"/>
    <w:rsid w:val="4B22DDE1"/>
    <w:rsid w:val="4B3A7C17"/>
    <w:rsid w:val="4B708BA4"/>
    <w:rsid w:val="4C0B153E"/>
    <w:rsid w:val="4C59F899"/>
    <w:rsid w:val="4C5D5688"/>
    <w:rsid w:val="4D38425E"/>
    <w:rsid w:val="4DBC16EC"/>
    <w:rsid w:val="4E0A8973"/>
    <w:rsid w:val="4E10CFA3"/>
    <w:rsid w:val="4E5512FE"/>
    <w:rsid w:val="4E848025"/>
    <w:rsid w:val="4FDE1A24"/>
    <w:rsid w:val="4FF33CD9"/>
    <w:rsid w:val="5005E51F"/>
    <w:rsid w:val="500DED3A"/>
    <w:rsid w:val="50552FFB"/>
    <w:rsid w:val="506110F1"/>
    <w:rsid w:val="506667DD"/>
    <w:rsid w:val="50A81DD1"/>
    <w:rsid w:val="50AB2BFB"/>
    <w:rsid w:val="516A36B7"/>
    <w:rsid w:val="518F0D3A"/>
    <w:rsid w:val="51C354E0"/>
    <w:rsid w:val="51F73212"/>
    <w:rsid w:val="520573C5"/>
    <w:rsid w:val="52BBABB1"/>
    <w:rsid w:val="532ADD9B"/>
    <w:rsid w:val="534D7B82"/>
    <w:rsid w:val="5369EFD4"/>
    <w:rsid w:val="53E554D0"/>
    <w:rsid w:val="5468FBF5"/>
    <w:rsid w:val="549058B9"/>
    <w:rsid w:val="54CF46E1"/>
    <w:rsid w:val="54E94BE3"/>
    <w:rsid w:val="55276796"/>
    <w:rsid w:val="5531209A"/>
    <w:rsid w:val="55AFC1DD"/>
    <w:rsid w:val="55C30B1D"/>
    <w:rsid w:val="55C44E6F"/>
    <w:rsid w:val="565A752C"/>
    <w:rsid w:val="56C3438A"/>
    <w:rsid w:val="56DC6054"/>
    <w:rsid w:val="56EACFAA"/>
    <w:rsid w:val="573A1DFF"/>
    <w:rsid w:val="5748CA77"/>
    <w:rsid w:val="575DF1BB"/>
    <w:rsid w:val="58345FE8"/>
    <w:rsid w:val="58A5A4EF"/>
    <w:rsid w:val="59DD1815"/>
    <w:rsid w:val="59EE6ED2"/>
    <w:rsid w:val="59FAD8B9"/>
    <w:rsid w:val="5A722EFE"/>
    <w:rsid w:val="5A822843"/>
    <w:rsid w:val="5AA1193A"/>
    <w:rsid w:val="5AB8C6BC"/>
    <w:rsid w:val="5B1A550E"/>
    <w:rsid w:val="5B3DDD06"/>
    <w:rsid w:val="5B3E06F2"/>
    <w:rsid w:val="5B473C92"/>
    <w:rsid w:val="5B5DB936"/>
    <w:rsid w:val="5B96A91A"/>
    <w:rsid w:val="5B9E96A0"/>
    <w:rsid w:val="5BCA3CDB"/>
    <w:rsid w:val="5C0555C7"/>
    <w:rsid w:val="5C2D0BD3"/>
    <w:rsid w:val="5C493247"/>
    <w:rsid w:val="5C7ACB75"/>
    <w:rsid w:val="5CC7D739"/>
    <w:rsid w:val="5D22CAD4"/>
    <w:rsid w:val="5E1CF5FE"/>
    <w:rsid w:val="5ECE49DC"/>
    <w:rsid w:val="5EF47398"/>
    <w:rsid w:val="5EFFAFB7"/>
    <w:rsid w:val="5F39AACA"/>
    <w:rsid w:val="5F8BC8A4"/>
    <w:rsid w:val="5F93CA32"/>
    <w:rsid w:val="5FCEA987"/>
    <w:rsid w:val="602A8A05"/>
    <w:rsid w:val="6047FE9E"/>
    <w:rsid w:val="6079692A"/>
    <w:rsid w:val="60EE8AB0"/>
    <w:rsid w:val="6127A314"/>
    <w:rsid w:val="612F9A93"/>
    <w:rsid w:val="61706E35"/>
    <w:rsid w:val="6180E5A3"/>
    <w:rsid w:val="61D3500D"/>
    <w:rsid w:val="6221860B"/>
    <w:rsid w:val="6246721E"/>
    <w:rsid w:val="62921822"/>
    <w:rsid w:val="62D158C6"/>
    <w:rsid w:val="630C3E96"/>
    <w:rsid w:val="63A9A885"/>
    <w:rsid w:val="63B9F87D"/>
    <w:rsid w:val="64838C62"/>
    <w:rsid w:val="64A80EF7"/>
    <w:rsid w:val="651C16D0"/>
    <w:rsid w:val="65EFCE09"/>
    <w:rsid w:val="66030BB6"/>
    <w:rsid w:val="66082C4A"/>
    <w:rsid w:val="6608F988"/>
    <w:rsid w:val="662F2092"/>
    <w:rsid w:val="6691DCBF"/>
    <w:rsid w:val="66947AFD"/>
    <w:rsid w:val="66BB1B9B"/>
    <w:rsid w:val="66C6A368"/>
    <w:rsid w:val="673EE1C6"/>
    <w:rsid w:val="68693C43"/>
    <w:rsid w:val="688484E6"/>
    <w:rsid w:val="68B25DC4"/>
    <w:rsid w:val="68EC8267"/>
    <w:rsid w:val="693AAC78"/>
    <w:rsid w:val="699ACE7A"/>
    <w:rsid w:val="69CA0C89"/>
    <w:rsid w:val="69D73913"/>
    <w:rsid w:val="69F742A8"/>
    <w:rsid w:val="6A8852C8"/>
    <w:rsid w:val="6AEB9719"/>
    <w:rsid w:val="6B04BF76"/>
    <w:rsid w:val="6B352932"/>
    <w:rsid w:val="6BB4BA6A"/>
    <w:rsid w:val="6BC9CD23"/>
    <w:rsid w:val="6BCCD2B0"/>
    <w:rsid w:val="6CBCACAB"/>
    <w:rsid w:val="6D0453D3"/>
    <w:rsid w:val="6D1134C2"/>
    <w:rsid w:val="6DAF59D4"/>
    <w:rsid w:val="6E58299E"/>
    <w:rsid w:val="6E92ED21"/>
    <w:rsid w:val="6EC368CE"/>
    <w:rsid w:val="6EE6E0B6"/>
    <w:rsid w:val="6FFCCB8F"/>
    <w:rsid w:val="70706B24"/>
    <w:rsid w:val="70839F05"/>
    <w:rsid w:val="709FD7AE"/>
    <w:rsid w:val="70A33BE7"/>
    <w:rsid w:val="71184731"/>
    <w:rsid w:val="711CBCEA"/>
    <w:rsid w:val="7167E92B"/>
    <w:rsid w:val="719E87FA"/>
    <w:rsid w:val="71A33A41"/>
    <w:rsid w:val="71C26EA0"/>
    <w:rsid w:val="71C2D318"/>
    <w:rsid w:val="71D26066"/>
    <w:rsid w:val="71F3E677"/>
    <w:rsid w:val="720A1B09"/>
    <w:rsid w:val="720E253B"/>
    <w:rsid w:val="72624A80"/>
    <w:rsid w:val="7292A89B"/>
    <w:rsid w:val="72A8592B"/>
    <w:rsid w:val="72B41792"/>
    <w:rsid w:val="72B88D4B"/>
    <w:rsid w:val="72E97C44"/>
    <w:rsid w:val="732F42C7"/>
    <w:rsid w:val="7357376A"/>
    <w:rsid w:val="746ACE1A"/>
    <w:rsid w:val="748387FD"/>
    <w:rsid w:val="74A4CED3"/>
    <w:rsid w:val="74F42480"/>
    <w:rsid w:val="75177F9C"/>
    <w:rsid w:val="755B9CB0"/>
    <w:rsid w:val="75ADB764"/>
    <w:rsid w:val="75D2F2F5"/>
    <w:rsid w:val="75DF2FD1"/>
    <w:rsid w:val="760B4EA8"/>
    <w:rsid w:val="76152CF6"/>
    <w:rsid w:val="77714E0D"/>
    <w:rsid w:val="777243D4"/>
    <w:rsid w:val="77746038"/>
    <w:rsid w:val="777BFA6B"/>
    <w:rsid w:val="778884D4"/>
    <w:rsid w:val="77A71F09"/>
    <w:rsid w:val="78321CC5"/>
    <w:rsid w:val="78417066"/>
    <w:rsid w:val="78D06E19"/>
    <w:rsid w:val="79245535"/>
    <w:rsid w:val="792A6355"/>
    <w:rsid w:val="796D4B28"/>
    <w:rsid w:val="79A0317B"/>
    <w:rsid w:val="7AC39F30"/>
    <w:rsid w:val="7AD6027C"/>
    <w:rsid w:val="7AD94650"/>
    <w:rsid w:val="7AECDE0C"/>
    <w:rsid w:val="7B1113A7"/>
    <w:rsid w:val="7B3320BE"/>
    <w:rsid w:val="7B791128"/>
    <w:rsid w:val="7B8F9A38"/>
    <w:rsid w:val="7BEB1008"/>
    <w:rsid w:val="7BEB82E2"/>
    <w:rsid w:val="7C70C06B"/>
    <w:rsid w:val="7C9D8B44"/>
    <w:rsid w:val="7CDA993A"/>
    <w:rsid w:val="7D0C1DEC"/>
    <w:rsid w:val="7D114428"/>
    <w:rsid w:val="7D4ED0CA"/>
    <w:rsid w:val="7DFC964D"/>
    <w:rsid w:val="7E2CF1BE"/>
    <w:rsid w:val="7EEA2615"/>
    <w:rsid w:val="7F0881F8"/>
    <w:rsid w:val="7FC8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2B67"/>
  <w15:chartTrackingRefBased/>
  <w15:docId w15:val="{90C22539-A7D0-4FFB-B69D-EA7B8BB2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681"/>
  </w:style>
  <w:style w:type="paragraph" w:styleId="Footer">
    <w:name w:val="footer"/>
    <w:basedOn w:val="Normal"/>
    <w:link w:val="FooterChar"/>
    <w:uiPriority w:val="99"/>
    <w:unhideWhenUsed/>
    <w:rsid w:val="00EF4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68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B58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8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E0392"/>
    <w:rPr>
      <w:rFonts w:ascii="Segoe UI" w:hAnsi="Segoe UI" w:cs="Segoe UI" w:hint="default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ODo20</b:Tag>
    <b:SourceType>ElectronicSource</b:SourceType>
    <b:Guid>{CFDDC5B0-3385-4FAE-8552-B1C6FA77DDF4}</b:Guid>
    <b:Title>Vital Signs: Characteristics of Drug Overdose Deaths Involving Opioids and Stimulants- 24 States and the District of Cloumbia, January-June 2019</b:Title>
    <b:Year>2020</b:Year>
    <b:Month>September</b:Month>
    <b:Day>4</b:Day>
    <b:URL>https://www.cdc.gov/mmwr/volumes/69/wr/mm6935a1.htm?s_cid=mm6935a1_w</b:URL>
    <b:Author>
      <b:Author>
        <b:NameList>
          <b:Person>
            <b:Last>O'Donnell, PhD</b:Last>
            <b:First>Julie</b:First>
          </b:Person>
          <b:Person>
            <b:Last>Gladden, PhD</b:Last>
            <b:Middle>R.</b:Middle>
            <b:First>Matt</b:First>
          </b:Person>
          <b:Person>
            <b:Last>Mattson, PhD</b:Last>
            <b:Middle>L.</b:Middle>
            <b:First>Christine</b:First>
          </b:Person>
          <b:Person>
            <b:Last>Hunter, MPH</b:Last>
            <b:Middle>T.</b:Middle>
            <b:First>Calli</b:First>
          </b:Person>
          <b:Person>
            <b:Last>Davis, PhD</b:Last>
            <b:Middle>L.</b:Middle>
            <b:First>Nicole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8057EEE-558C-488B-B75B-AFDD4D4B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Alex Krotulski</cp:lastModifiedBy>
  <cp:revision>2</cp:revision>
  <dcterms:created xsi:type="dcterms:W3CDTF">2024-02-16T15:55:00Z</dcterms:created>
  <dcterms:modified xsi:type="dcterms:W3CDTF">2024-02-16T15:55:00Z</dcterms:modified>
</cp:coreProperties>
</file>